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34" w:rsidRDefault="005C2E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des Gesamtpräsidiums des HV Rheinland-Pfalz/Saar e. V. auf Änderung der Satzung des Verbandes.</w:t>
      </w:r>
    </w:p>
    <w:p w:rsidR="005C2E34" w:rsidRPr="005C2E34" w:rsidRDefault="005C2E34">
      <w:pPr>
        <w:rPr>
          <w:rFonts w:ascii="Arial" w:hAnsi="Arial" w:cs="Arial"/>
        </w:rPr>
      </w:pPr>
      <w:r>
        <w:rPr>
          <w:rFonts w:ascii="Arial" w:hAnsi="Arial" w:cs="Arial"/>
        </w:rPr>
        <w:t>Das Gesamtpräsidium beantragt folgende Änderungen der Satzung des HV Rheinland-Pfalz/Saar e. V. zu beschließen:</w:t>
      </w:r>
    </w:p>
    <w:p w:rsidR="0090102D" w:rsidRDefault="0090102D">
      <w:pPr>
        <w:rPr>
          <w:rFonts w:ascii="Arial" w:hAnsi="Arial" w:cs="Arial"/>
        </w:rPr>
      </w:pPr>
    </w:p>
    <w:p w:rsidR="00CA6985" w:rsidRDefault="00CA6985" w:rsidP="00CA6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="0090102D" w:rsidRPr="00CA6985">
        <w:rPr>
          <w:rFonts w:ascii="Arial" w:hAnsi="Arial" w:cs="Arial"/>
          <w:b/>
        </w:rPr>
        <w:t>§ 4</w:t>
      </w:r>
      <w:r w:rsidR="0090102D" w:rsidRPr="00CA6985">
        <w:rPr>
          <w:rFonts w:ascii="Arial" w:hAnsi="Arial" w:cs="Arial"/>
        </w:rPr>
        <w:t xml:space="preserve"> wird </w:t>
      </w:r>
      <w:r w:rsidRPr="00CA6985">
        <w:rPr>
          <w:rFonts w:ascii="Arial" w:hAnsi="Arial" w:cs="Arial"/>
        </w:rPr>
        <w:t>in der Überschrift angefügt:</w:t>
      </w:r>
    </w:p>
    <w:p w:rsidR="00CA6985" w:rsidRPr="005C2E34" w:rsidRDefault="00CA6985" w:rsidP="00CA6985">
      <w:pPr>
        <w:rPr>
          <w:rFonts w:ascii="Arial" w:hAnsi="Arial" w:cs="Arial"/>
          <w:i/>
        </w:rPr>
      </w:pPr>
      <w:r w:rsidRPr="005C2E34">
        <w:rPr>
          <w:rFonts w:ascii="Arial" w:hAnsi="Arial" w:cs="Arial"/>
          <w:i/>
        </w:rPr>
        <w:t>„und Kassenprüfung“;</w:t>
      </w:r>
    </w:p>
    <w:p w:rsidR="00CA6985" w:rsidRPr="00CA6985" w:rsidRDefault="00CA6985" w:rsidP="00CA6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hinter Satz </w:t>
      </w:r>
      <w:r w:rsidR="00B27421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wird eingefügt:     </w:t>
      </w:r>
    </w:p>
    <w:p w:rsidR="0090102D" w:rsidRPr="005C2E34" w:rsidRDefault="00CA698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90102D" w:rsidRPr="005C2E34">
        <w:rPr>
          <w:rFonts w:ascii="Arial" w:hAnsi="Arial" w:cs="Arial"/>
          <w:i/>
        </w:rPr>
        <w:t>„Kassenprüfungen sind jährlich durch die vom vorhergehenden Verbandstag gewählten Kassenprüfer durchzuführen.“</w:t>
      </w:r>
    </w:p>
    <w:p w:rsidR="004B5FB9" w:rsidRDefault="004B5FB9">
      <w:pPr>
        <w:rPr>
          <w:rFonts w:ascii="Arial" w:hAnsi="Arial" w:cs="Arial"/>
        </w:rPr>
      </w:pPr>
    </w:p>
    <w:p w:rsidR="004B5FB9" w:rsidRDefault="004B5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Pr="004B5FB9">
        <w:rPr>
          <w:rFonts w:ascii="Arial" w:hAnsi="Arial" w:cs="Arial"/>
          <w:b/>
        </w:rPr>
        <w:t>§ 11 Abs. 8</w:t>
      </w:r>
      <w:r>
        <w:rPr>
          <w:rFonts w:ascii="Arial" w:hAnsi="Arial" w:cs="Arial"/>
        </w:rPr>
        <w:t xml:space="preserve"> werden hinter „Berichte des Gesamtpräsidiums und der Ausschüsse eingefügt“:</w:t>
      </w:r>
    </w:p>
    <w:p w:rsidR="004B5FB9" w:rsidRPr="005C2E34" w:rsidRDefault="004B5FB9">
      <w:pPr>
        <w:rPr>
          <w:rFonts w:ascii="Arial" w:hAnsi="Arial" w:cs="Arial"/>
          <w:i/>
        </w:rPr>
      </w:pPr>
      <w:r w:rsidRPr="005C2E34">
        <w:rPr>
          <w:rFonts w:ascii="Arial" w:hAnsi="Arial" w:cs="Arial"/>
          <w:i/>
        </w:rPr>
        <w:t>„Entgegennahme des Kassenberichts für die beiden, dem Verbandstag vorhergehenden Jahre und Beschluss des Haushaltsplans für das laufende und für das dem Verbandstag folgende Jahr“;</w:t>
      </w:r>
    </w:p>
    <w:p w:rsidR="004B5FB9" w:rsidRPr="005C2E34" w:rsidRDefault="004B5FB9">
      <w:pPr>
        <w:rPr>
          <w:rFonts w:ascii="Arial" w:hAnsi="Arial" w:cs="Arial"/>
          <w:i/>
        </w:rPr>
      </w:pPr>
      <w:r w:rsidRPr="005C2E34">
        <w:rPr>
          <w:rFonts w:ascii="Arial" w:hAnsi="Arial" w:cs="Arial"/>
          <w:i/>
        </w:rPr>
        <w:t>„Entlastung des Schatzmeisters“</w:t>
      </w:r>
    </w:p>
    <w:p w:rsidR="00B27421" w:rsidRDefault="00B27421">
      <w:pPr>
        <w:rPr>
          <w:rFonts w:ascii="Arial" w:hAnsi="Arial" w:cs="Arial"/>
        </w:rPr>
      </w:pPr>
    </w:p>
    <w:p w:rsidR="00B27421" w:rsidRDefault="00B274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Pr="00B27421">
        <w:rPr>
          <w:rFonts w:ascii="Arial" w:hAnsi="Arial" w:cs="Arial"/>
          <w:b/>
        </w:rPr>
        <w:t xml:space="preserve">§ 10 </w:t>
      </w:r>
      <w:r>
        <w:rPr>
          <w:rFonts w:ascii="Arial" w:hAnsi="Arial" w:cs="Arial"/>
        </w:rPr>
        <w:t xml:space="preserve">wird ein neuer Absatz  </w:t>
      </w:r>
      <w:r w:rsidRPr="00B27421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angefügt:</w:t>
      </w:r>
    </w:p>
    <w:p w:rsidR="0090102D" w:rsidRPr="005C2E34" w:rsidRDefault="00B27421">
      <w:pPr>
        <w:rPr>
          <w:rFonts w:ascii="Arial" w:hAnsi="Arial" w:cs="Arial"/>
          <w:i/>
        </w:rPr>
      </w:pPr>
      <w:r w:rsidRPr="005C2E34">
        <w:rPr>
          <w:rFonts w:ascii="Arial" w:hAnsi="Arial" w:cs="Arial"/>
          <w:i/>
        </w:rPr>
        <w:t>„Kommen Vereine ihrer Verpflichtung zur Zahlung von</w:t>
      </w:r>
      <w:r w:rsidR="0035308A" w:rsidRPr="005C2E34">
        <w:rPr>
          <w:rFonts w:ascii="Arial" w:hAnsi="Arial" w:cs="Arial"/>
          <w:i/>
        </w:rPr>
        <w:t xml:space="preserve"> Beiträgen, Umlagen und Gebühren sowie,</w:t>
      </w:r>
      <w:r w:rsidRPr="005C2E34">
        <w:rPr>
          <w:rFonts w:ascii="Arial" w:hAnsi="Arial" w:cs="Arial"/>
          <w:i/>
        </w:rPr>
        <w:t xml:space="preserve"> nach der SPO DHB, der </w:t>
      </w:r>
      <w:proofErr w:type="spellStart"/>
      <w:r w:rsidRPr="005C2E34">
        <w:rPr>
          <w:rFonts w:ascii="Arial" w:hAnsi="Arial" w:cs="Arial"/>
          <w:i/>
        </w:rPr>
        <w:t>ZusSpO</w:t>
      </w:r>
      <w:proofErr w:type="spellEnd"/>
      <w:r w:rsidRPr="005C2E34">
        <w:rPr>
          <w:rFonts w:ascii="Arial" w:hAnsi="Arial" w:cs="Arial"/>
          <w:i/>
        </w:rPr>
        <w:t xml:space="preserve"> RPS oder der SRO RPS verhängten, Strafen</w:t>
      </w:r>
      <w:r w:rsidR="0035308A" w:rsidRPr="005C2E34">
        <w:rPr>
          <w:rFonts w:ascii="Arial" w:hAnsi="Arial" w:cs="Arial"/>
          <w:i/>
        </w:rPr>
        <w:t xml:space="preserve">, </w:t>
      </w:r>
      <w:r w:rsidRPr="005C2E34">
        <w:rPr>
          <w:rFonts w:ascii="Arial" w:hAnsi="Arial" w:cs="Arial"/>
          <w:i/>
        </w:rPr>
        <w:t xml:space="preserve"> nach Erinnerung nicht nach, kann das Gesamtpräsidium </w:t>
      </w:r>
      <w:r w:rsidR="0035308A" w:rsidRPr="005C2E34">
        <w:rPr>
          <w:rFonts w:ascii="Arial" w:hAnsi="Arial" w:cs="Arial"/>
          <w:i/>
        </w:rPr>
        <w:t>Maßnahmen nach § 13 der Schiedsgerichtsordnung des Deutschen Hockey Bundes (SGO DHB) ergreifen (Geldstrafen, Sperrung von</w:t>
      </w:r>
      <w:r w:rsidRPr="005C2E34">
        <w:rPr>
          <w:rFonts w:ascii="Arial" w:hAnsi="Arial" w:cs="Arial"/>
          <w:i/>
        </w:rPr>
        <w:t xml:space="preserve"> Mannschaften der Erwachsenenaltersklasse, für die der HV RPS zuständig ist</w:t>
      </w:r>
      <w:r w:rsidR="0035308A" w:rsidRPr="005C2E34">
        <w:rPr>
          <w:rFonts w:ascii="Arial" w:hAnsi="Arial" w:cs="Arial"/>
          <w:i/>
        </w:rPr>
        <w:t>).“</w:t>
      </w:r>
    </w:p>
    <w:p w:rsidR="0090102D" w:rsidRDefault="0090102D">
      <w:pPr>
        <w:rPr>
          <w:rFonts w:ascii="Arial" w:hAnsi="Arial" w:cs="Arial"/>
        </w:rPr>
      </w:pPr>
      <w:bookmarkStart w:id="0" w:name="_GoBack"/>
      <w:bookmarkEnd w:id="0"/>
    </w:p>
    <w:p w:rsidR="0090102D" w:rsidRDefault="0090102D">
      <w:pPr>
        <w:rPr>
          <w:rFonts w:ascii="Arial" w:hAnsi="Arial" w:cs="Arial"/>
        </w:rPr>
      </w:pPr>
    </w:p>
    <w:p w:rsidR="0020742C" w:rsidRPr="0020742C" w:rsidRDefault="0020742C">
      <w:pPr>
        <w:rPr>
          <w:rFonts w:ascii="Arial" w:hAnsi="Arial" w:cs="Arial"/>
        </w:rPr>
      </w:pPr>
    </w:p>
    <w:p w:rsidR="0020742C" w:rsidRDefault="0020742C">
      <w:pPr>
        <w:rPr>
          <w:rFonts w:ascii="Arial" w:hAnsi="Arial" w:cs="Arial"/>
        </w:rPr>
      </w:pPr>
    </w:p>
    <w:sectPr w:rsidR="00207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A7E"/>
    <w:multiLevelType w:val="hybridMultilevel"/>
    <w:tmpl w:val="5A865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51C0"/>
    <w:multiLevelType w:val="hybridMultilevel"/>
    <w:tmpl w:val="6D5CB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C"/>
    <w:rsid w:val="00141E40"/>
    <w:rsid w:val="0020742C"/>
    <w:rsid w:val="0035308A"/>
    <w:rsid w:val="00364466"/>
    <w:rsid w:val="004B5FB9"/>
    <w:rsid w:val="005C2E34"/>
    <w:rsid w:val="0090102D"/>
    <w:rsid w:val="00B27421"/>
    <w:rsid w:val="00C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4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4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Dietrich</cp:lastModifiedBy>
  <cp:revision>13</cp:revision>
  <dcterms:created xsi:type="dcterms:W3CDTF">2014-12-15T15:56:00Z</dcterms:created>
  <dcterms:modified xsi:type="dcterms:W3CDTF">2016-01-02T14:46:00Z</dcterms:modified>
</cp:coreProperties>
</file>